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C00" w:rsidRPr="004C7C00" w:rsidRDefault="0027655D" w:rsidP="004C7C00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s-ES"/>
        </w:rPr>
      </w:pP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begin"/>
      </w:r>
      <w:r w:rsidR="004C7C00"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instrText xml:space="preserve"> HYPERLINK "http://www.afasistemas.com.ar/images/CIRCULAR_36_ENMIENDAS_2014.pdf" \l "page=1" \o "Página 1" </w:instrText>
      </w: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separate"/>
      </w:r>
    </w:p>
    <w:p w:rsidR="004C7C00" w:rsidRPr="004C7C00" w:rsidRDefault="0027655D" w:rsidP="004C7C00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s-ES"/>
        </w:rPr>
      </w:pP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end"/>
      </w: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begin"/>
      </w:r>
      <w:r w:rsidR="004C7C00"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instrText xml:space="preserve"> HYPERLINK "http://www.afasistemas.com.ar/images/CIRCULAR_36_ENMIENDAS_2014.pdf" \l "page=2" \o "Página 2" </w:instrText>
      </w: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separate"/>
      </w:r>
    </w:p>
    <w:p w:rsidR="004C7C00" w:rsidRPr="004C7C00" w:rsidRDefault="0027655D" w:rsidP="004C7C00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s-ES"/>
        </w:rPr>
      </w:pP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end"/>
      </w: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begin"/>
      </w:r>
      <w:r w:rsidR="004C7C00"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instrText xml:space="preserve"> HYPERLINK "http://www.afasistemas.com.ar/images/CIRCULAR_36_ENMIENDAS_2014.pdf" \l "page=3" \o "Página 3" </w:instrText>
      </w: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separate"/>
      </w:r>
    </w:p>
    <w:p w:rsidR="004C7C00" w:rsidRPr="004C7C00" w:rsidRDefault="0027655D" w:rsidP="004C7C00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s-ES"/>
        </w:rPr>
      </w:pP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end"/>
      </w: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begin"/>
      </w:r>
      <w:r w:rsidR="004C7C00"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instrText xml:space="preserve"> HYPERLINK "http://www.afasistemas.com.ar/images/CIRCULAR_36_ENMIENDAS_2014.pdf" \l "page=4" \o "Página 4" </w:instrText>
      </w: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separate"/>
      </w:r>
    </w:p>
    <w:p w:rsidR="004C7C00" w:rsidRPr="004C7C00" w:rsidRDefault="0027655D" w:rsidP="004C7C00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es-ES"/>
        </w:rPr>
      </w:pP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end"/>
      </w: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begin"/>
      </w:r>
      <w:r w:rsidR="004C7C00"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instrText xml:space="preserve"> HYPERLINK "http://www.afasistemas.com.ar/images/CIRCULAR_36_ENMIENDAS_2014.pdf" \l "page=5" \o "Página 5" </w:instrText>
      </w: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separate"/>
      </w:r>
    </w:p>
    <w:p w:rsidR="004C7C00" w:rsidRPr="004C7C00" w:rsidRDefault="0027655D" w:rsidP="004C7C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ES"/>
        </w:rPr>
      </w:pPr>
      <w:r w:rsidRPr="004C7C00">
        <w:rPr>
          <w:rFonts w:ascii="Times New Roman" w:eastAsia="Times New Roman" w:hAnsi="Times New Roman" w:cs="Times New Roman"/>
          <w:sz w:val="24"/>
          <w:szCs w:val="24"/>
          <w:lang w:eastAsia="es-ES"/>
        </w:rPr>
        <w:fldChar w:fldCharType="end"/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29"/>
          <w:szCs w:val="29"/>
          <w:lang w:eastAsia="es-ES"/>
        </w:rPr>
      </w:pPr>
      <w:bookmarkStart w:id="0" w:name="1"/>
      <w:bookmarkEnd w:id="0"/>
      <w:r w:rsidRPr="004C7C00">
        <w:rPr>
          <w:rFonts w:ascii="Times New Roman" w:eastAsia="Times New Roman" w:hAnsi="Times New Roman" w:cs="Times New Roman"/>
          <w:sz w:val="29"/>
          <w:szCs w:val="29"/>
          <w:lang w:eastAsia="es-ES"/>
        </w:rPr>
        <w:t>1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49"/>
          <w:szCs w:val="49"/>
          <w:lang w:eastAsia="es-ES"/>
        </w:rPr>
      </w:pPr>
      <w:r w:rsidRPr="004C7C00">
        <w:rPr>
          <w:rFonts w:ascii="Times New Roman" w:eastAsia="Times New Roman" w:hAnsi="Times New Roman" w:cs="Times New Roman"/>
          <w:sz w:val="49"/>
          <w:szCs w:val="49"/>
          <w:lang w:eastAsia="es-ES"/>
        </w:rPr>
        <w:t xml:space="preserve">ASOCIACIÓN DEL FÚTBOL ARGENTINO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49"/>
          <w:szCs w:val="49"/>
          <w:lang w:eastAsia="es-ES"/>
        </w:rPr>
      </w:pPr>
      <w:r w:rsidRPr="004C7C00">
        <w:rPr>
          <w:rFonts w:ascii="Times New Roman" w:eastAsia="Times New Roman" w:hAnsi="Times New Roman" w:cs="Times New Roman"/>
          <w:sz w:val="49"/>
          <w:szCs w:val="49"/>
          <w:lang w:eastAsia="es-ES"/>
        </w:rPr>
        <w:t>CIRCULAR Nº 36/2014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es-ES"/>
        </w:rPr>
      </w:pPr>
      <w:r w:rsidRPr="004C7C00">
        <w:rPr>
          <w:rFonts w:ascii="Times New Roman" w:eastAsia="Times New Roman" w:hAnsi="Times New Roman" w:cs="Times New Roman"/>
          <w:sz w:val="44"/>
          <w:szCs w:val="44"/>
          <w:lang w:eastAsia="es-ES"/>
        </w:rPr>
        <w:t xml:space="preserve">Transcribimos </w:t>
      </w:r>
      <w:bookmarkStart w:id="1" w:name="_GoBack"/>
      <w:bookmarkEnd w:id="1"/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es-ES"/>
        </w:rPr>
      </w:pPr>
      <w:r w:rsidRPr="004C7C00">
        <w:rPr>
          <w:rFonts w:ascii="Times New Roman" w:eastAsia="Times New Roman" w:hAnsi="Times New Roman" w:cs="Times New Roman"/>
          <w:sz w:val="44"/>
          <w:szCs w:val="44"/>
          <w:lang w:eastAsia="es-ES"/>
        </w:rPr>
        <w:t xml:space="preserve">Circular nº 1419 (FIFA)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es-ES"/>
        </w:rPr>
      </w:pPr>
      <w:r w:rsidRPr="004C7C00">
        <w:rPr>
          <w:rFonts w:ascii="Times New Roman" w:eastAsia="Times New Roman" w:hAnsi="Times New Roman" w:cs="Times New Roman"/>
          <w:sz w:val="44"/>
          <w:szCs w:val="44"/>
          <w:lang w:eastAsia="es-ES"/>
        </w:rPr>
        <w:t xml:space="preserve">Zurich, mayo de 2014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53"/>
          <w:szCs w:val="53"/>
          <w:lang w:eastAsia="es-ES"/>
        </w:rPr>
      </w:pPr>
      <w:r w:rsidRPr="004C7C00">
        <w:rPr>
          <w:rFonts w:ascii="Times New Roman" w:eastAsia="Times New Roman" w:hAnsi="Times New Roman" w:cs="Times New Roman"/>
          <w:sz w:val="53"/>
          <w:szCs w:val="53"/>
          <w:lang w:eastAsia="es-ES"/>
        </w:rPr>
        <w:t xml:space="preserve">Enmiendas a las Reglas de Juego 2014/2015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Señoras y señores: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La 128º reunión general anual del International Foo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tballAssociationBoard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(IFAB) se celebró el 1 de marzo de 2014 en Zurich (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Suiza). A continuación,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encontrarán las enmiendas a las Reglas de Juego apr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obadas en la reunión, así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como las diversas instrucciones y directrices promu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lgadas. El acta de la sesión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estará próximamente disponible en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www.fifa.com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1.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Regla 4: El equipamiento de los jugadores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Otro equipamiento (interpretación), pág. 69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29"/>
          <w:szCs w:val="29"/>
          <w:lang w:eastAsia="es-ES"/>
        </w:rPr>
      </w:pPr>
      <w:bookmarkStart w:id="2" w:name="2"/>
      <w:bookmarkEnd w:id="2"/>
      <w:r w:rsidRPr="004C7C00">
        <w:rPr>
          <w:rFonts w:ascii="Times New Roman" w:eastAsia="Times New Roman" w:hAnsi="Times New Roman" w:cs="Times New Roman"/>
          <w:sz w:val="29"/>
          <w:szCs w:val="29"/>
          <w:lang w:eastAsia="es-ES"/>
        </w:rPr>
        <w:t>2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Texto enmendado en negrita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Motivo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Transcurridos dos años de la fase piloto no se ha c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lastRenderedPageBreak/>
        <w:t xml:space="preserve">onstatado razón alguna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por la cual debe prohibirse el uso de protectores d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 cabeza, siempre que se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respeten las restricciones en cuanto a su diseño, y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a definidas en la fase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piloto. Asimismo, surgió la petición por parte de l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os jugadores que desean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se permita el uso de protectores de cabeza, puesto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que su veto se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consideraba como una cuestión discriminatoria 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2.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Regla 4: El equipamiento de los jugadores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Prendas de ropa interior con lemas o publicidad (De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cisión 1) pág. 23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Texto enmendado en negrita.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El equipamiento protector moderno (...) se permite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su uso.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Cuando se usen protectores de cabeza, estos deberán</w:t>
      </w:r>
    </w:p>
    <w:p w:rsidR="004C7C00" w:rsidRPr="004C7C00" w:rsidRDefault="004C7C00" w:rsidP="004C7C00">
      <w:pPr>
        <w:spacing w:after="0" w:line="240" w:lineRule="auto"/>
        <w:rPr>
          <w:rFonts w:ascii="Arial" w:eastAsia="Times New Roman" w:hAnsi="Arial" w:cs="Arial"/>
          <w:sz w:val="34"/>
          <w:szCs w:val="34"/>
          <w:lang w:eastAsia="es-ES"/>
        </w:rPr>
      </w:pPr>
      <w:r w:rsidRPr="004C7C00">
        <w:rPr>
          <w:rFonts w:ascii="Arial" w:eastAsia="Times New Roman" w:hAnsi="Arial" w:cs="Arial"/>
          <w:sz w:val="34"/>
          <w:szCs w:val="34"/>
          <w:lang w:eastAsia="es-ES"/>
        </w:rPr>
        <w:t>•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ser de color negro o del color principal de la cami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seta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(siempre y cuando los jugadores de un equipo usen e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l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mismo color); </w:t>
      </w:r>
    </w:p>
    <w:p w:rsidR="004C7C00" w:rsidRPr="004C7C00" w:rsidRDefault="004C7C00" w:rsidP="004C7C00">
      <w:pPr>
        <w:spacing w:after="0" w:line="240" w:lineRule="auto"/>
        <w:rPr>
          <w:rFonts w:ascii="Arial" w:eastAsia="Times New Roman" w:hAnsi="Arial" w:cs="Arial"/>
          <w:sz w:val="34"/>
          <w:szCs w:val="34"/>
          <w:lang w:eastAsia="es-ES"/>
        </w:rPr>
      </w:pPr>
      <w:r w:rsidRPr="004C7C00">
        <w:rPr>
          <w:rFonts w:ascii="Arial" w:eastAsia="Times New Roman" w:hAnsi="Arial" w:cs="Arial"/>
          <w:sz w:val="34"/>
          <w:szCs w:val="34"/>
          <w:lang w:eastAsia="es-ES"/>
        </w:rPr>
        <w:t>•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estar a tono con la apariencia profesional del equi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pamiento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del jugador; </w:t>
      </w:r>
    </w:p>
    <w:p w:rsidR="004C7C00" w:rsidRPr="004C7C00" w:rsidRDefault="004C7C00" w:rsidP="004C7C00">
      <w:pPr>
        <w:spacing w:after="0" w:line="240" w:lineRule="auto"/>
        <w:rPr>
          <w:rFonts w:ascii="Arial" w:eastAsia="Times New Roman" w:hAnsi="Arial" w:cs="Arial"/>
          <w:sz w:val="34"/>
          <w:szCs w:val="34"/>
          <w:lang w:eastAsia="es-ES"/>
        </w:rPr>
      </w:pPr>
      <w:r w:rsidRPr="004C7C00">
        <w:rPr>
          <w:rFonts w:ascii="Arial" w:eastAsia="Times New Roman" w:hAnsi="Arial" w:cs="Arial"/>
          <w:sz w:val="34"/>
          <w:szCs w:val="34"/>
          <w:lang w:eastAsia="es-ES"/>
        </w:rPr>
        <w:t>•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estar separados de la camiseta; </w:t>
      </w:r>
    </w:p>
    <w:p w:rsidR="004C7C00" w:rsidRPr="004C7C00" w:rsidRDefault="004C7C00" w:rsidP="004C7C00">
      <w:pPr>
        <w:spacing w:after="0" w:line="240" w:lineRule="auto"/>
        <w:rPr>
          <w:rFonts w:ascii="Arial" w:eastAsia="Times New Roman" w:hAnsi="Arial" w:cs="Arial"/>
          <w:sz w:val="34"/>
          <w:szCs w:val="34"/>
          <w:lang w:eastAsia="es-ES"/>
        </w:rPr>
      </w:pPr>
      <w:r w:rsidRPr="004C7C00">
        <w:rPr>
          <w:rFonts w:ascii="Arial" w:eastAsia="Times New Roman" w:hAnsi="Arial" w:cs="Arial"/>
          <w:sz w:val="34"/>
          <w:szCs w:val="34"/>
          <w:lang w:eastAsia="es-ES"/>
        </w:rPr>
        <w:t>•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ser seguros y no suponer ningún riesgo para el juga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dor que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lo lleve ni para otro jugador (p. ej. con un mecan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ismo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lastRenderedPageBreak/>
        <w:t xml:space="preserve">para abrirlo y cerrarlo alrededor del cuello); </w:t>
      </w:r>
    </w:p>
    <w:p w:rsidR="004C7C00" w:rsidRPr="004C7C00" w:rsidRDefault="004C7C00" w:rsidP="004C7C00">
      <w:pPr>
        <w:spacing w:after="0" w:line="240" w:lineRule="auto"/>
        <w:rPr>
          <w:rFonts w:ascii="Arial" w:eastAsia="Times New Roman" w:hAnsi="Arial" w:cs="Arial"/>
          <w:sz w:val="34"/>
          <w:szCs w:val="34"/>
          <w:lang w:eastAsia="es-ES"/>
        </w:rPr>
      </w:pPr>
      <w:r w:rsidRPr="004C7C00">
        <w:rPr>
          <w:rFonts w:ascii="Arial" w:eastAsia="Times New Roman" w:hAnsi="Arial" w:cs="Arial"/>
          <w:sz w:val="34"/>
          <w:szCs w:val="34"/>
          <w:lang w:eastAsia="es-ES"/>
        </w:rPr>
        <w:t>•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carecer de partes que sobresalgan (protuberancias).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(...)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29"/>
          <w:szCs w:val="29"/>
          <w:lang w:eastAsia="es-ES"/>
        </w:rPr>
      </w:pPr>
      <w:bookmarkStart w:id="3" w:name="3"/>
      <w:bookmarkEnd w:id="3"/>
      <w:r w:rsidRPr="004C7C00">
        <w:rPr>
          <w:rFonts w:ascii="Times New Roman" w:eastAsia="Times New Roman" w:hAnsi="Times New Roman" w:cs="Times New Roman"/>
          <w:sz w:val="29"/>
          <w:szCs w:val="29"/>
          <w:lang w:eastAsia="es-ES"/>
        </w:rPr>
        <w:t>3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Motivo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En la actualidad, existe una diferencia entre lo qu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 un jugador puede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mostrar en una pieza del equipamiento básico obliga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torio y aquello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que puede mostrar en la ropa interior, es decir, no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puede mostrar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mensajes o imágenes personales en su camiseta, pero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puede hacerlo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en su camiseta interior. Esta enmienda pretende est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ablecer una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política coherente para el equipo exterior y todas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las prendas de ropa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interior.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Asimismo, se presenta la oportunidad de estructurar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esta sección, es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decir, los primeros dos puntos se refieren a la cam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iseta exterior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(equipamiento básico obligatorio) y los puntos tres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y cuatro a la ropa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interior.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Entrada en vigor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Las decisiones de la reunión general anual del IFAB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relativas a las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modificaciones aportadas a las Reglas de Juego será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n vinculantes para las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confederaciones y las asociaciones miembro, y entra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rán en vigor el 1 de junio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Equipamiento básico obligatorio.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El equipamiento básico obligatorio no deberá tener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lastRenderedPageBreak/>
        <w:t xml:space="preserve">lemas,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mensajes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o imágenes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políticos, religiosos ni personales.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El organizador de la competición o la FIFA sanciona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rá al equipo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de un jugador cuyo equipamiento básico obligatorio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tenga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lemas,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mensajes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o imágenes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políticos, religiosos o personales.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Ropa interior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Los jugadores no deben mostrar ropa interior con le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mas,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mensajes o imágenes políticos, religiosos o persona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les y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tampoco otra publicidad que no sea el logotipo del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fabricante.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El organizador de la competición o la FIFA sanciona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rá a los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jugadores o equipos que muestren ropa interior con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lemas,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mensajes o imágenes políticos religiosos o personal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es u otra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publicidad que no sea el logotipo del fabricante.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29"/>
          <w:szCs w:val="29"/>
          <w:lang w:eastAsia="es-ES"/>
        </w:rPr>
      </w:pPr>
      <w:bookmarkStart w:id="4" w:name="4"/>
      <w:bookmarkEnd w:id="4"/>
      <w:r w:rsidRPr="004C7C00">
        <w:rPr>
          <w:rFonts w:ascii="Times New Roman" w:eastAsia="Times New Roman" w:hAnsi="Times New Roman" w:cs="Times New Roman"/>
          <w:sz w:val="29"/>
          <w:szCs w:val="29"/>
          <w:lang w:eastAsia="es-ES"/>
        </w:rPr>
        <w:t>4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de 2014. Sin embargo, las confederaciones o las aso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ciaciones miembro en las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que la temporada en curso aún no haya finalizado el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1 de junio podrán aplazar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la introducción de las modificaciones a las Reglas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de Juego hasta el comienzo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de su siguiente temporada.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Uso de cámaras y/o micrófonos por parte de los árbi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lastRenderedPageBreak/>
        <w:t xml:space="preserve">tros con fines de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difusión.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Además de las enmiendas anteriores, desearíamos com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unicarles, en nombre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del IFAB, la postura de este gremio respecto al uso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de dispositivos de audio 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video, como pueden ser micrófonos y/o cámaras que u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tilicen los árbitros en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partidos. A raíz de varios incidentes en los que co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legiados usaron micrófonos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o cámaras con micrófonos, este asunto se puso en co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nocimiento del IFAB, el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cual lo abordó en la reunión de trabajo anual, cel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ebrada el 24 de octubre de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2013.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Aunque el IFAB entiende que las cadenas difusoras e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stén interesadas en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ofrecer a la audiencia nuevas perspectivas del depo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rte (sea mediante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dispositivos de audio o video), decidió categóricam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ente en dicha sesión que no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está permitido el uso de tales dispositivos, sobre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todo porque las grabaciones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de una cadena difusora pueden dañar la credibilidad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y la integridad de los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árbitros, particularmente en situaciones críticas.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El motivo principal de que los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sistemas de comunicación entre los árbitros estén 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ctualmente cifrados y no se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transmitan al público es permitir a los colegiados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una comunicación rápida y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franca entre ellos. Si dicha comunicación fuese de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 dominio público, los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oficiales de partido tendrían que tener en cuenta l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a repercusión de sus palabras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lastRenderedPageBreak/>
        <w:t>en la audiencia antes de que pudieran decir algo, l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o cual perjudicaría su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actuación como equipo.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Asimismo, queremos hacer hincapié en que se debería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n tener en consideración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las consecuencias jurídicas de usar las grabaciones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entre el árbitro, los árbitros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asistentes y otros oficiales de partido durante un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encuentro. Si se grabasen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tales conversaciones, podrían solicitarse en proced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imientos disciplinarios y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repercutir considerablemente en el desarrollo de lo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s mismos (por ejemplo,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entre otros, el árbitro tendría que verificar su in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forme y asegurarse de que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corresponde a las grabaciones; esto supondría una i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mportante carga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administrativa para los árbitros y otros órganos in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volucrados, etc).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Aunque comprendemos que las Reglas de Juego no deta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llen en concreto el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equipamiento de los árbitros (pese a que esto podrí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a incorporarse a las Reglas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29"/>
          <w:szCs w:val="29"/>
          <w:lang w:eastAsia="es-ES"/>
        </w:rPr>
      </w:pPr>
      <w:bookmarkStart w:id="5" w:name="5"/>
      <w:bookmarkEnd w:id="5"/>
      <w:r w:rsidRPr="004C7C00">
        <w:rPr>
          <w:rFonts w:ascii="Times New Roman" w:eastAsia="Times New Roman" w:hAnsi="Times New Roman" w:cs="Times New Roman"/>
          <w:sz w:val="29"/>
          <w:szCs w:val="29"/>
          <w:lang w:eastAsia="es-ES"/>
        </w:rPr>
        <w:t>5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en un futuro próximo), quisiéramos reiterar que, en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la actualidad, no está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permitido el equipo adicional mencionado anteriorme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nte.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Muchas gracias por su atención y su valiosa colabor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ación.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Atentamente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FIFA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JerômeValcke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Secretario General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>La aplicación de estas enmiendas es a partir del in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lastRenderedPageBreak/>
        <w:t xml:space="preserve">icio de los Campeonatos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34"/>
          <w:szCs w:val="34"/>
          <w:lang w:eastAsia="es-ES"/>
        </w:rPr>
      </w:pPr>
      <w:r w:rsidRPr="004C7C00">
        <w:rPr>
          <w:rFonts w:ascii="Times New Roman" w:eastAsia="Times New Roman" w:hAnsi="Times New Roman" w:cs="Times New Roman"/>
          <w:sz w:val="34"/>
          <w:szCs w:val="34"/>
          <w:lang w:eastAsia="es-ES"/>
        </w:rPr>
        <w:t xml:space="preserve">Oficiales de AFA. 2014.-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es-ES"/>
        </w:rPr>
      </w:pPr>
      <w:r w:rsidRPr="004C7C00">
        <w:rPr>
          <w:rFonts w:ascii="Times New Roman" w:eastAsia="Times New Roman" w:hAnsi="Times New Roman" w:cs="Times New Roman"/>
          <w:sz w:val="44"/>
          <w:szCs w:val="44"/>
          <w:lang w:eastAsia="es-ES"/>
        </w:rPr>
        <w:t xml:space="preserve">COLEGIO DE ÁRBITROS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es-ES"/>
        </w:rPr>
      </w:pPr>
      <w:r w:rsidRPr="004C7C00">
        <w:rPr>
          <w:rFonts w:ascii="Times New Roman" w:eastAsia="Times New Roman" w:hAnsi="Times New Roman" w:cs="Times New Roman"/>
          <w:sz w:val="44"/>
          <w:szCs w:val="44"/>
          <w:lang w:eastAsia="es-ES"/>
        </w:rPr>
        <w:t xml:space="preserve">DEPARTAMENTO DE ARBITRAJE </w:t>
      </w:r>
    </w:p>
    <w:p w:rsidR="004C7C00" w:rsidRPr="004C7C00" w:rsidRDefault="004C7C00" w:rsidP="004C7C00">
      <w:pPr>
        <w:spacing w:after="0" w:line="240" w:lineRule="auto"/>
        <w:rPr>
          <w:rFonts w:ascii="Times New Roman" w:eastAsia="Times New Roman" w:hAnsi="Times New Roman" w:cs="Times New Roman"/>
          <w:sz w:val="44"/>
          <w:szCs w:val="44"/>
          <w:lang w:eastAsia="es-ES"/>
        </w:rPr>
      </w:pPr>
      <w:r w:rsidRPr="004C7C00">
        <w:rPr>
          <w:rFonts w:ascii="Times New Roman" w:eastAsia="Times New Roman" w:hAnsi="Times New Roman" w:cs="Times New Roman"/>
          <w:sz w:val="44"/>
          <w:szCs w:val="44"/>
          <w:lang w:eastAsia="es-ES"/>
        </w:rPr>
        <w:t>AGOSTO DE 2014.-</w:t>
      </w:r>
    </w:p>
    <w:p w:rsidR="008C02DC" w:rsidRDefault="008C02DC"/>
    <w:sectPr w:rsidR="008C02DC" w:rsidSect="0027655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4C7C00"/>
    <w:rsid w:val="0027655D"/>
    <w:rsid w:val="004C7C00"/>
    <w:rsid w:val="006E3408"/>
    <w:rsid w:val="008C02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655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75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88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541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559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3770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76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925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4063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8172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7069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6983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7326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437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8746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34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3677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6908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4248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541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00621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2481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53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66962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40395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1709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5656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0155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4155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4617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04498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3844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472246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354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36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19395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506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8533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8875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8073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0225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4956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4315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409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650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6836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9617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7059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1362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0209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6723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650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1430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940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42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1256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0428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765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290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367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7670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0507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1087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9157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299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8018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3381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76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8441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1019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894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7054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27176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3737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6226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5341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4003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678117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790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6075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0194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0441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005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7073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2793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7288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8410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94481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84085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7885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3325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9385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7049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234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3084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421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647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3562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596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983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6430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2713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957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149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024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0145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5780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900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7811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887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1109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1355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459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96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3563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784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66460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1384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4019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880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9452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2772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245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178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0770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2521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906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5254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4166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263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445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461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680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404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95222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1538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883240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6304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144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393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5156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8894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044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80848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68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4607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2950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8904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4182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9267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0083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5926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69645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6094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148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1929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67583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1109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8720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0878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18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641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052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686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082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5463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6991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6937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301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5488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046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7320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338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8463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4390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9617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0221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758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0647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8798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073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1440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526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20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0254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4593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7006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846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0059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8844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6874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62293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84533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0677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06044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4694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6463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18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3448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641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17383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605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69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719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2839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0210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873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7361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3563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2484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255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4073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74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9392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2722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2159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030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04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8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8918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5741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2600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4969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2630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1067</Words>
  <Characters>5873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Miguel</dc:creator>
  <cp:lastModifiedBy>computadora2</cp:lastModifiedBy>
  <cp:revision>2</cp:revision>
  <dcterms:created xsi:type="dcterms:W3CDTF">2014-08-19T18:40:00Z</dcterms:created>
  <dcterms:modified xsi:type="dcterms:W3CDTF">2014-08-19T18:40:00Z</dcterms:modified>
</cp:coreProperties>
</file>